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5E" w:rsidRPr="00B0455E" w:rsidRDefault="00B0455E" w:rsidP="00B0455E">
      <w:pPr>
        <w:spacing w:after="100" w:afterAutospacing="1" w:line="240" w:lineRule="auto"/>
        <w:outlineLvl w:val="1"/>
        <w:rPr>
          <w:rFonts w:ascii="PTbold" w:eastAsia="Times New Roman" w:hAnsi="PTbold" w:cs="Times New Roman"/>
          <w:sz w:val="36"/>
          <w:szCs w:val="36"/>
          <w:lang w:eastAsia="ru-RU"/>
        </w:rPr>
      </w:pPr>
      <w:r w:rsidRPr="00B0455E">
        <w:rPr>
          <w:rFonts w:ascii="PTbold" w:eastAsia="Times New Roman" w:hAnsi="PTbold" w:cs="Times New Roman"/>
          <w:sz w:val="36"/>
          <w:szCs w:val="36"/>
          <w:lang w:eastAsia="ru-RU"/>
        </w:rPr>
        <w:t>Практическое задание 3</w:t>
      </w:r>
    </w:p>
    <w:p w:rsidR="00B0455E" w:rsidRPr="00B0455E" w:rsidRDefault="00B0455E" w:rsidP="00B0455E">
      <w:pPr>
        <w:spacing w:after="100" w:afterAutospacing="1" w:line="240" w:lineRule="auto"/>
        <w:outlineLvl w:val="4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0455E">
        <w:rPr>
          <w:rFonts w:ascii="inherit" w:eastAsia="Times New Roman" w:hAnsi="inherit" w:cs="Times New Roman"/>
          <w:sz w:val="20"/>
          <w:szCs w:val="20"/>
          <w:lang w:eastAsia="ru-RU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Заполните таблицу проанализировав какие составляющие коммерческой тайны выделяют по функционально-целевому признаку?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35"/>
      </w:tblGrid>
      <w:tr w:rsidR="00B0455E" w:rsidRPr="00B0455E" w:rsidTr="004951D0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Составляющие коммерческой тайны</w:t>
            </w:r>
          </w:p>
        </w:tc>
        <w:tc>
          <w:tcPr>
            <w:tcW w:w="5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</w:t>
            </w:r>
            <w:proofErr w:type="gramEnd"/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сведения о контрагентах; сведения о конкурентах; сведения о потребителях; сведения о деловых переговорах; коммерческая переписка; сведения о заключенных и планируемых контрактах.</w:t>
            </w:r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Научно-техническая информаци</w:t>
            </w:r>
            <w:r w:rsidR="004951D0"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содержание и планы научно-исследовательских работ; содержание “ноу-хау", рационализаторских предложений; планы внедрения новых технологий и видов продукции</w:t>
            </w:r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Производственная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технология; планы выпуска продукции; объем незавершенного производства и запасов; планы инвестиционной деятельности.</w:t>
            </w:r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Организационно-управленческая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сведения о структуре управления фирмой не содержащиеся в уставе; оригинальные методы организации управления; система организации труда.</w:t>
            </w:r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Маркетинговая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рыночная стратегия; планы рекламной деятельности; планы обеспечения конкурентных преимуществ по сравнению с продукцией других фирм; методы работы на рынках; планы сбыта продукции; анализ конкурентоспособности выпускаемой продукции.</w:t>
            </w:r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Финансовая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планирование прибыли, себестоимости; ценообразование - методы расчета, структура цен, скидки; возможные источники финансирования; финансовые прогнозы.</w:t>
            </w:r>
            <w:proofErr w:type="gramEnd"/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Информация о персонале фирмы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личные дела сотрудников; планы увеличения (сокращения) персонала; содержание тестов для проверки вновь принимаемых на работу.</w:t>
            </w:r>
          </w:p>
        </w:tc>
      </w:tr>
      <w:tr w:rsidR="00B0455E" w:rsidRPr="00B0455E" w:rsidTr="004951D0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B0455E" w:rsidP="0049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Программное обеспечение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951D0" w:rsidRDefault="004951D0" w:rsidP="004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программы; пароли, коды доступа к конфиденциальной информации, расположенной на электронных носителях.</w:t>
            </w:r>
          </w:p>
        </w:tc>
      </w:tr>
    </w:tbl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C5" w:rsidRDefault="002513C5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3C5" w:rsidRDefault="002513C5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3C5" w:rsidRDefault="002513C5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3C5" w:rsidRDefault="002513C5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3C5" w:rsidRDefault="002513C5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3C5" w:rsidRDefault="002513C5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3C5" w:rsidRDefault="002513C5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2.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Заполните таблицу проанализировав как осуществляется процесс обеспечения сохранности информации в документах, содержащих коммерческую тайну, в соответствии с основными стадиями "жизненного” цикла документа</w:t>
      </w:r>
      <w:proofErr w:type="gramStart"/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35"/>
      </w:tblGrid>
      <w:tr w:rsidR="00B0455E" w:rsidRPr="00B0455E" w:rsidTr="00B0455E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"жизненного” цикла документа</w:t>
            </w:r>
          </w:p>
        </w:tc>
        <w:tc>
          <w:tcPr>
            <w:tcW w:w="5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процесса обеспечения сохранности информации в документах, содержащих коммерческую тайну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(отправка)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D450E3" w:rsidRDefault="00D450E3" w:rsidP="00D4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E3">
              <w:rPr>
                <w:rFonts w:ascii="Times New Roman" w:hAnsi="Times New Roman" w:cs="Times New Roman"/>
                <w:color w:val="000000"/>
              </w:rPr>
              <w:t>Документ, поступающий в фирму и содержащий гриф конфиденциальной информации, должен быть передан только секретарю-референту или инспектору закрытого делопроизводства и зарегистрирован. Далее, он передается руководителю, а последний определяет непосредственного исполнителя по данному документу, имеющему допуск к этой категории документов, и адресует документ ему. Аналогичный порядок при отправлении документа - подготовка документа, подпись руководителя, регистрация в специальном журнале секретарем-референтом и отправка.</w:t>
            </w:r>
            <w:r w:rsidR="00B0455E" w:rsidRPr="00D4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D450E3" w:rsidRDefault="00D450E3" w:rsidP="00D4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E3">
              <w:rPr>
                <w:rFonts w:ascii="Times New Roman" w:hAnsi="Times New Roman" w:cs="Times New Roman"/>
                <w:color w:val="000000"/>
              </w:rPr>
              <w:t>Все документы, содержащие конфиденциальную информацию, должны храниться в специально отведенных, закрывающихся помещениях, в запертых шкафах, столах или ящиках. Документы же составляющие коммерческую тайну - только в металлических сейфах, оборудованных сигнализацией. Все помещения должны опечатываться. Следует иметь в виду, что при определении степени конфиденциальности документа производится также определение срока в течение которого она действует</w:t>
            </w:r>
            <w:proofErr w:type="gramStart"/>
            <w:r w:rsidRPr="00D450E3">
              <w:rPr>
                <w:rFonts w:ascii="Times New Roman" w:hAnsi="Times New Roman" w:cs="Times New Roman"/>
                <w:color w:val="000000"/>
              </w:rPr>
              <w:t xml:space="preserve"> П</w:t>
            </w:r>
            <w:proofErr w:type="gramEnd"/>
            <w:r w:rsidRPr="00D450E3">
              <w:rPr>
                <w:rFonts w:ascii="Times New Roman" w:hAnsi="Times New Roman" w:cs="Times New Roman"/>
                <w:color w:val="000000"/>
              </w:rPr>
              <w:t>о истечении срока возможны различные действия: 1) гриф может быть продлен, 2) гриф может быть снят и документ становится открытым, 3) документ уничтожается.</w:t>
            </w:r>
            <w:r w:rsidR="00B0455E" w:rsidRPr="00D4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D450E3" w:rsidRDefault="00D450E3" w:rsidP="00D4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E3">
              <w:rPr>
                <w:rFonts w:ascii="Times New Roman" w:hAnsi="Times New Roman" w:cs="Times New Roman"/>
                <w:color w:val="000000"/>
              </w:rPr>
              <w:t xml:space="preserve">Система доступа сотрудников, не имеющих соответствующих прав по должности, к конфиденциальным документам должна иметь разрешительный характер. Каждая выдача таких документов регистрируется (расписываются оба сотрудника - и тот, кто берет </w:t>
            </w:r>
            <w:proofErr w:type="gramStart"/>
            <w:r w:rsidRPr="00D450E3">
              <w:rPr>
                <w:rFonts w:ascii="Times New Roman" w:hAnsi="Times New Roman" w:cs="Times New Roman"/>
                <w:color w:val="000000"/>
              </w:rPr>
              <w:t>документ</w:t>
            </w:r>
            <w:proofErr w:type="gramEnd"/>
            <w:r w:rsidRPr="00D450E3">
              <w:rPr>
                <w:rFonts w:ascii="Times New Roman" w:hAnsi="Times New Roman" w:cs="Times New Roman"/>
                <w:color w:val="000000"/>
              </w:rPr>
              <w:t xml:space="preserve"> и тот кто его выдает) и проверяется порядок работы с ними (например, нарушением считается оставление данных документов на столе во время обеда, передача другим лицам, вынос за пределы служебных помещений).</w:t>
            </w:r>
            <w:r w:rsidR="00B0455E" w:rsidRPr="00D4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D450E3" w:rsidRDefault="00B0455E" w:rsidP="00D4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50E3" w:rsidRPr="00D450E3">
              <w:rPr>
                <w:rFonts w:ascii="Times New Roman" w:hAnsi="Times New Roman" w:cs="Times New Roman"/>
                <w:color w:val="000000"/>
              </w:rPr>
              <w:t>Конфиденциальные документы, утратившие практическое значение и не имеющие какой-либо правовой, исторической или научной ценности, срок хранения которых истек (либо не истек), подлежат уничтожению. Для этого создается комиссия (не менее 3 человек) в присутствии которой производится уничтожение. Затем члены комиссии подписывают акт об уничтожении. Бумажные документы уничтожаются путем сожжения, дробления, превращения в бесформенную массу, а магнитные и фотографические носители уничтожаются сожжением, дроблением, расплавлением и др.</w:t>
            </w:r>
          </w:p>
        </w:tc>
      </w:tr>
    </w:tbl>
    <w:p w:rsidR="002513C5" w:rsidRPr="002513C5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3.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Заполните таблицу проанализировав этапы процедур закупок, на которых оператор или организатор закупок осуществляет сбор и обработку персональных данных, и возможные виды нарушений</w:t>
      </w:r>
      <w:proofErr w:type="gramStart"/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387"/>
        <w:gridCol w:w="3475"/>
        <w:gridCol w:w="2517"/>
      </w:tblGrid>
      <w:tr w:rsidR="008A465A" w:rsidRPr="00B0455E" w:rsidTr="008A465A"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осуществления закупки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и возможные нарушения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соблюдение положений 152-ФЗ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Ст.31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8A465A" w:rsidRDefault="00A251B8" w:rsidP="008A465A">
            <w:pPr>
              <w:shd w:val="clear" w:color="auto" w:fill="FFFFFF"/>
              <w:spacing w:line="315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dst101710"/>
            <w:bookmarkEnd w:id="0"/>
            <w:r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Комиссия по осуществлению закупок проверяет соответствие участников закупок требованиям, указанным в </w:t>
            </w:r>
            <w:r w:rsidR="008A465A" w:rsidRPr="008A465A">
              <w:rPr>
                <w:rFonts w:ascii="Times New Roman" w:hAnsi="Times New Roman" w:cs="Times New Roman"/>
                <w:sz w:val="24"/>
                <w:szCs w:val="24"/>
              </w:rPr>
              <w:t xml:space="preserve">Законе, </w:t>
            </w:r>
            <w:r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исключением случаев проведения электронных процедур, запроса котировок</w:t>
            </w:r>
            <w:r w:rsidR="008A465A"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 отношении отдельных видов закупок товаров, работ, услуг требованиям, установленным Правительством Российской Федерации. Комиссия по осуществлению закупок вправе проверять соответствие участников закупок требованиям, а также при проведении электронных процеду</w:t>
            </w:r>
            <w:r w:rsidR="008A465A"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р, запроса котировок требованию</w:t>
            </w:r>
            <w:r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</w:t>
            </w:r>
            <w:r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A4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8A465A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D50CD" w:rsidRPr="004B6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Оператор электронной площадки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заявок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65" w:rsidRPr="008A465A" w:rsidRDefault="008A465A" w:rsidP="008A465A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anchor="dst100013" w:history="1">
              <w:r w:rsidRPr="008A4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Порядок</w:t>
              </w:r>
            </w:hyperlink>
            <w:r w:rsidRPr="008A46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оценки заявок, окончательных предложений участников закупки, в том числе </w:t>
            </w:r>
            <w:hyperlink r:id="rId7" w:anchor="dst100125" w:history="1">
              <w:r w:rsidRPr="008A4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предельные величины</w:t>
              </w:r>
            </w:hyperlink>
            <w:r w:rsidRPr="008A46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значимости каждого критерия, устанавливается Правительством Российской Федерации. Заказчик для целей оценки заявок, окончательных </w:t>
            </w:r>
            <w:r w:rsidRPr="008A46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предложений участников закупки в случае, если в соответствии с законодательством Российской Федерации</w:t>
            </w:r>
            <w:r w:rsidRPr="008A46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8A46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допускается использование заказчиком не предусмотренных настоящей статьей критериев или их величин значимости</w:t>
            </w:r>
            <w:r w:rsidRPr="008A46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 на конкурс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Ст.51 44-ФЗ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... паспортные данные, место жительства (для физического лица), номер контактного телефона;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7" w:rsidRPr="00C03207" w:rsidRDefault="00C03207" w:rsidP="00C03207">
            <w:pPr>
              <w:shd w:val="clear" w:color="auto" w:fill="FFFFFF"/>
              <w:spacing w:after="0" w:line="315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 на участие в открытом конкурсе представляются по форме и в порядке, которые указаны в конкурсной документации, а также в месте и до истечения срока, которые указаны в извещении о проведении открытого конкурса.</w:t>
            </w:r>
            <w:bookmarkStart w:id="1" w:name="dst503"/>
            <w:bookmarkStart w:id="2" w:name="dst100627"/>
            <w:bookmarkEnd w:id="1"/>
            <w:bookmarkEnd w:id="2"/>
            <w:r w:rsidRPr="00C03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Участник открытого конкурса подает в письменной форме заявку на участие в открытом конкурсе в запечатанном конверте, не позволяющем просматривать содержание заявки до вскрытия. Примерная форма заявки на участие в открытом конкурсе может указываться в типовой конкурсной документации. </w:t>
            </w:r>
            <w:r w:rsidRPr="00C03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Лица, осуществляющие хранение конвертов с заявками на участие в открытом конкурсе, не вправе допускать повреждение этих конвертов до момента вскрытия конвертов с заявками на участие в открытом конкурсе в соответствии Федеральным законом.</w:t>
            </w:r>
          </w:p>
          <w:p w:rsidR="00B0455E" w:rsidRPr="00C03207" w:rsidRDefault="00B0455E" w:rsidP="00C03207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1E4BFA" w:rsidRDefault="00B0455E" w:rsidP="00C0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4BFA" w:rsidRPr="001E4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Заказчик,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</w:t>
            </w:r>
            <w:r w:rsidR="00C03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E4BFA" w:rsidRPr="001E4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 на участие в конкурсе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Ч.10 ст.53 44-ФЗ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7" w:rsidRPr="00C03207" w:rsidRDefault="00B0455E" w:rsidP="00C03207">
            <w:pPr>
              <w:shd w:val="clear" w:color="auto" w:fill="FFFFFF"/>
              <w:spacing w:line="315" w:lineRule="atLeast"/>
              <w:ind w:firstLine="540"/>
              <w:jc w:val="both"/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Конкурсная комиссия отклоняет заявку на участие в конкурсе в случае, если участник конкурса, подавший ее, не соответствует </w:t>
            </w:r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требованиям к участнику конкурса, указанным в конкурсной документации, или такая заявка признана не соответствующей требованиям, указ</w:t>
            </w:r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анным в конкурсной документации.</w:t>
            </w:r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случае установления недостоверности информации, содержащейся в документах, представленных участником конкурса, конкурсная комиссия обязана отстранить такого участника от участия в конкурсе на любом этапе его проведения.</w:t>
            </w:r>
            <w:r w:rsidR="00C03207" w:rsidRPr="00C03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рассмотрения заявок на участие в конкурсе фиксируются в протоколе рассмотрения и оценки заявок на участие в конкурсе.</w:t>
            </w:r>
            <w:bookmarkStart w:id="3" w:name="dst100666"/>
            <w:bookmarkEnd w:id="3"/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      </w:r>
            <w:bookmarkStart w:id="4" w:name="dst100667"/>
            <w:bookmarkEnd w:id="4"/>
            <w:r w:rsidR="00C03207" w:rsidRPr="00C03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      </w:r>
            <w:bookmarkStart w:id="5" w:name="dst100668"/>
            <w:bookmarkEnd w:id="5"/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</w:t>
            </w:r>
            <w:r w:rsidR="00C03207"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контракта. Заявке на участие в конкурсе, в которой содержатся лучшие условия исполнения контракта, присваивается первый номер. </w:t>
            </w:r>
          </w:p>
          <w:p w:rsidR="00C03207" w:rsidRPr="00C03207" w:rsidRDefault="00C03207" w:rsidP="00C03207">
            <w:pPr>
              <w:shd w:val="clear" w:color="auto" w:fill="FFFFFF"/>
              <w:spacing w:line="315" w:lineRule="atLeast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Победителем конкурса признается участник конкурса, который предложил лучшие условия исполнения контракта на основе критериев, указанных в конкурсной документации, и заявке на участие в </w:t>
            </w:r>
            <w:proofErr w:type="gramStart"/>
            <w:r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конкурсе</w:t>
            </w:r>
            <w:proofErr w:type="gramEnd"/>
            <w:r w:rsidRPr="00C03207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присвоен первый номер.</w:t>
            </w:r>
          </w:p>
          <w:p w:rsidR="00B0455E" w:rsidRPr="007E7811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C03207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C03207" w:rsidRPr="00C03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Конкурсная комиссия осуществляет оценку заявок на участие в конкурсе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Хранение данных о проведенной закупке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Ч.15 ст.53 44-ФЗ Хранение данных не менее 3-х лет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FB5A98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5A98" w:rsidRPr="00FB5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разъяснения положений конкурсной документац</w:t>
            </w:r>
            <w:proofErr w:type="gramStart"/>
            <w:r w:rsidR="00FB5A98" w:rsidRPr="00FB5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 и ау</w:t>
            </w:r>
            <w:proofErr w:type="gramEnd"/>
            <w:r w:rsidR="00FB5A98" w:rsidRPr="00FB5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диозапись вскрытия конвертов с заявками на участие в конкурсе хранятся заказчиком не менее чем три года.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отвечающие за хранение документации.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конфиденциальности об участнике аукциона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Ст.60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7E7811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Утратила силу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B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участника на ЭТП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Ст.61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7E7811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Утратила силу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B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участников электронного аукциона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Ст.62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7E7811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Утратила силу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B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Вторые части заявок участников аукциона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Ч.5 ст.66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8B" w:rsidRPr="004B6C8B" w:rsidRDefault="004B6C8B" w:rsidP="0010713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Заявка на участие в электронном аукционе, в описание объекта закупки включается проектная документация, направляется участником такого аукциона оператору электронной площадки в форме двух электронных документов, содержащих части заявки, </w:t>
            </w: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Указанные электронные документы подаются одновременно.</w:t>
            </w:r>
            <w:r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документы (их копии), подтверждающие соответствие участника электронного аукци</w:t>
            </w: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она дополнительным требованиям, </w:t>
            </w: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не включаются участником такого аукциона в состав второй части заявки. Такие документы (их копии) направляются заказчику оператором электронной площадки с использованием программно-ап</w:t>
            </w: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паратных средств такой площадки.</w:t>
            </w: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</w:t>
            </w:r>
            <w:r w:rsidRPr="004B6C8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форме электронного документа. </w:t>
            </w:r>
            <w:r w:rsidRPr="004B6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случае установления недостоверности информации, содержащейся в документах, представленных у</w:t>
            </w:r>
            <w:r w:rsidRPr="004B6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частником электронного аукциона, </w:t>
            </w:r>
            <w:r w:rsidRPr="004B6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аукционная комиссия обязана отстранить такого участника от участия в электронном аукционе на любом этапе его проведения.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4B6C8B" w:rsidRDefault="00B0455E" w:rsidP="004B6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B6C8B" w:rsidRPr="004B6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Оператор</w:t>
            </w:r>
            <w:r w:rsidR="004B6C8B" w:rsidRPr="004B6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электронной площадки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 на участие в запросе котировок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Ч.4 ст.77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10713B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B6C8B" w:rsidRPr="0010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</w:t>
            </w:r>
            <w:r w:rsidR="004B6C8B" w:rsidRPr="0010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B6C8B" w:rsidRPr="0010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Заказчик обеспечивает сохранность конвертов с </w:t>
            </w:r>
            <w:r w:rsidR="004B6C8B" w:rsidRPr="0010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законом. Лица, осуществляющие хранение конвертов с такими заявками, не вправе допускать повреждение этих конвертов до момента их вскрытия в соответствии с настоящим Федеральным законом. За нарушение требований настоящей статьи виновные лица несут </w:t>
            </w:r>
            <w:hyperlink r:id="rId8" w:anchor="dst4996" w:history="1">
              <w:r w:rsidR="004B6C8B" w:rsidRPr="0010713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ответственность</w:t>
              </w:r>
            </w:hyperlink>
            <w:r w:rsidR="004B6C8B" w:rsidRPr="0010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предусмотренную законодательством Российской Федерации.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0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и лица, отвечающие за хранение документации.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запроса предложений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Ст.83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7E7811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7673D0" w:rsidRPr="00767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запросом предложений понимается способ определения поставщика (подрядчика, исполнителя), при котором информация о закупаемых для обеспечения государственных или муниципальных нужд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предложений, документации о проведении запроса предложений и победителем запроса предложений признается участник закупки, направивший окончательное предложение, которое наилучшим образом соответствует установленным</w:t>
            </w:r>
            <w:proofErr w:type="gramEnd"/>
            <w:r w:rsidR="007673D0" w:rsidRPr="00767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заказчиком требованиям к товару, работе или услуге</w:t>
            </w:r>
            <w:r w:rsidR="007673D0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запроса предложений на закупку лекарственных средств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Ст.83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7673D0" w:rsidRDefault="007673D0" w:rsidP="00767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существление</w:t>
            </w:r>
            <w:r w:rsidRPr="00767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закупок лекарственных препаратов, которые необходимы для назначения пациенту при наличии медицинских показаний (индивидуальная </w:t>
            </w:r>
            <w:r w:rsidRPr="00767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непереносимость, по жизненным показаниям) по решению врачебной комиссии, которое фиксируется в медицинских документах пациента и журнале врачебной комиссии. При этом объем закупаемых лекарственных препаратов не должен превышать объем лекарственных препаратов, необходимых пациенту в течение срока лечения. Кроме того, при осуществлении закупок в соответствии с настоящим пунктом предметом одного контракта не могут являться лекарственные препараты, необходимые для назначения двум и более пациентам. Указанное решение врачебной комиссии должно включаться одновременно с контрактом,  при условии обеспечения предусмотренного Федеральным </w:t>
            </w:r>
            <w:hyperlink r:id="rId9" w:anchor="dst0" w:history="1">
              <w:r w:rsidRPr="007673D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законом</w:t>
              </w:r>
            </w:hyperlink>
            <w:r w:rsidRPr="00767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от 27 июля 2006 года N 152-ФЗ "О персональных данных" обезличивания персональных данных;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6D50CD" w:rsidP="006D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Заказчик. </w:t>
            </w:r>
            <w:r w:rsidRPr="004B6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Оператор электронной площадки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у единственного поставщика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Ст.93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7E7811" w:rsidRDefault="007673D0" w:rsidP="007673D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рок для подписания заказчиком проекта контракта подлежит исчислению со дня, следующего за днем получения заказчиком, или уполномоченным органом, или уполномоченным учреждением, направившими обращение, решения о согласовании заключения контракта с единственным поставщиком (подрядчиком, исполнителем);</w:t>
            </w:r>
            <w:bookmarkStart w:id="6" w:name="dst1700"/>
            <w:bookmarkEnd w:id="6"/>
            <w:r w:rsidRPr="0076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контракт не может быть заключен до даты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исполнения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предписания по результатам проведения внеплановой проверки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таким предписанием предусмотрена 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необходимость внесения изменений в проект контракта, заказчик в соответствии с указанным предписанием вносит изменения в проект контракта и направляет его участнику закупки, с которым заключается контракт, в порядке, установленном для заключения контракта с победителем соответствующего способа определения поставщика (подрядчика, исполнителя)</w:t>
            </w:r>
            <w:bookmarkStart w:id="7" w:name="dst1701"/>
            <w:bookmarkEnd w:id="7"/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 заключается не ранее чем через десять дней со дня размещения в единой информационной системе или подписания соответствующего протокола, и не позднее чем через двадцать дней </w:t>
            </w:r>
            <w:proofErr w:type="gramStart"/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с даты получения</w:t>
            </w:r>
            <w:proofErr w:type="gramEnd"/>
            <w:r w:rsidRPr="007673D0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заказчиком, уполномоченным органом, уполномоченным учреждением решения о согласовании заключения контракта с единственным поставщиком (подрядчиком, исполнителем). Заключение контракта до получения такого решения не допускается.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6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Реестр контрактов, заключенных заказчиками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Ст.103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3B" w:rsidRPr="0010713B" w:rsidRDefault="00B0455E" w:rsidP="0010713B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713B" w:rsidRPr="0010713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проверяет наличие информации и документов и их соответствие требованиям, установленным порядком ведения реестра контрактов, и размещает в единой </w:t>
            </w:r>
            <w:r w:rsidR="0010713B" w:rsidRPr="0010713B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информационной системе информацию и документы в течение трех рабочих дней с даты их получения. В случае несоответствия информации и документов указанным требованиям такие информация и документы не подлежат размещению в реестре контрактов.</w:t>
            </w:r>
          </w:p>
          <w:p w:rsidR="00B0455E" w:rsidRPr="007E7811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10713B" w:rsidRDefault="00B0455E" w:rsidP="00107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0713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10713B" w:rsidRPr="0010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 </w:t>
            </w:r>
            <w:hyperlink r:id="rId10" w:anchor="dst5" w:history="1">
              <w:r w:rsidR="0010713B" w:rsidRPr="0010713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орган</w:t>
              </w:r>
            </w:hyperlink>
            <w:r w:rsidR="0010713B" w:rsidRPr="0010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</w:tr>
      <w:tr w:rsidR="008A465A" w:rsidRPr="00B0455E" w:rsidTr="008A465A"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Реестр недобросовестных поставщиков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Ст.104 44-ФЗ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10713B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713B" w:rsidRPr="00107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10713B" w:rsidRDefault="0010713B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07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едеральный орган </w:t>
            </w:r>
            <w:r w:rsidRPr="00107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исполнительной власти, уполномоченным на осуществление контроля в сфере закупок.</w:t>
            </w:r>
          </w:p>
        </w:tc>
      </w:tr>
    </w:tbl>
    <w:p w:rsidR="00B0455E" w:rsidRPr="00B0455E" w:rsidRDefault="00B0455E" w:rsidP="00C0320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3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3D3" w:rsidRDefault="003703D3" w:rsidP="00B04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GoBack"/>
      <w:bookmarkEnd w:id="8"/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4.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Заполните таблицу проанализировав составные части антикоррупционного информационного стандарта.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5635"/>
      </w:tblGrid>
      <w:tr w:rsidR="00B0455E" w:rsidRPr="00B83243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 антикоррупционного информационного стандарта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</w:t>
            </w:r>
          </w:p>
        </w:tc>
      </w:tr>
      <w:tr w:rsidR="00B0455E" w:rsidRPr="00B83243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(</w:t>
            </w:r>
            <w:proofErr w:type="spellStart"/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транспарентность</w:t>
            </w:r>
            <w:proofErr w:type="spellEnd"/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государственного управления как общественно значимого процесса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94518C" w:rsidP="00B8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gramStart"/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режима информационной открытости деятельности органов власти</w:t>
            </w:r>
            <w:proofErr w:type="gramEnd"/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 и всего государственного управления в целом выполняют значительную антикоррупционную роль, </w:t>
            </w:r>
            <w:r w:rsidR="00B83243"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устран</w:t>
            </w:r>
            <w:r w:rsidR="00B83243" w:rsidRPr="00B83243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 одно</w:t>
            </w:r>
            <w:r w:rsidR="00B83243" w:rsidRPr="00B8324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 из главны</w:t>
            </w:r>
            <w:r w:rsidR="00B83243" w:rsidRPr="00B83243">
              <w:rPr>
                <w:rFonts w:ascii="Times New Roman" w:hAnsi="Times New Roman" w:cs="Times New Roman"/>
                <w:sz w:val="24"/>
                <w:szCs w:val="24"/>
              </w:rPr>
              <w:t>х условий коррупции - закрытости</w:t>
            </w: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3243" w:rsidRPr="00B83243">
              <w:rPr>
                <w:rFonts w:ascii="Times New Roman" w:hAnsi="Times New Roman" w:cs="Times New Roman"/>
                <w:sz w:val="24"/>
                <w:szCs w:val="24"/>
              </w:rPr>
              <w:t>еподконтрольности</w:t>
            </w:r>
            <w:proofErr w:type="spellEnd"/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административной системы</w:t>
            </w:r>
          </w:p>
        </w:tc>
      </w:tr>
      <w:tr w:rsidR="00B0455E" w:rsidRPr="00B83243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прозрачность информационного обмена в государственном управлении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83243" w:rsidP="00B8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Оборот информации между государством и частными лицами охватывает как предоставление информации государством гражданам и организациям, так и сбор информации самим государством от частных субъектов. </w:t>
            </w:r>
          </w:p>
        </w:tc>
      </w:tr>
      <w:tr w:rsidR="00B0455E" w:rsidRPr="00B83243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качества правовой информации, в том числе исключение ее </w:t>
            </w:r>
            <w:proofErr w:type="spellStart"/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коррупциогенности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83243" w:rsidP="00B8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воздействия, посредством которой прогнозируются различные варианты влияния акта на систему общественных отношений. Систематизация управленческой информации в виде составления административных регламентов и улучшения качества правовой информации. Так же одним из способов обеспечения качества правовой информации, или нормативных правовых актов, является антикоррупционная экспертиза</w:t>
            </w:r>
          </w:p>
        </w:tc>
      </w:tr>
      <w:tr w:rsidR="00B0455E" w:rsidRPr="00B83243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антикоррупционных информационных режимов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83243" w:rsidP="00B8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Использование простых процедур закупок, легче поддающихся контролю с позиций регулятора.  Система норм, обеспечивающих прозрачность заключения такого рода контрактов. Принцип открытости и прозрачности. При этом учитывается и цифровое неравенство. Предусматривая размещение извещений о проведении открытых конкурсов в единой информационной системе, Закон дает заказчику право опубликовать извещение в любых средствах массовой информации или разместить это извещение на сайтах в информационно-телекоммуникационной сети Интернет</w:t>
            </w:r>
            <w:proofErr w:type="gramStart"/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0455E" w:rsidRPr="00B83243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B0455E" w:rsidP="00B8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Постоянное информирование о состоянии коррупции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83243" w:rsidRDefault="0094518C" w:rsidP="00B8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В  стране и отдельных сферах, привлечение общественности, создание системы общественного </w:t>
            </w:r>
            <w:proofErr w:type="gramStart"/>
            <w:r w:rsidRPr="00B8324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83243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власти, международный обмен информацией по противодействию коррупции.</w:t>
            </w:r>
          </w:p>
        </w:tc>
      </w:tr>
    </w:tbl>
    <w:p w:rsidR="00526568" w:rsidRPr="00B83243" w:rsidRDefault="003703D3" w:rsidP="00B83243"/>
    <w:sectPr w:rsidR="00526568" w:rsidRPr="00B8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643"/>
    <w:multiLevelType w:val="multilevel"/>
    <w:tmpl w:val="E29A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9C"/>
    <w:rsid w:val="00070A7D"/>
    <w:rsid w:val="0010713B"/>
    <w:rsid w:val="001E4BFA"/>
    <w:rsid w:val="001F6D01"/>
    <w:rsid w:val="00216D15"/>
    <w:rsid w:val="002513C5"/>
    <w:rsid w:val="002C6C04"/>
    <w:rsid w:val="00332106"/>
    <w:rsid w:val="003703D3"/>
    <w:rsid w:val="004951D0"/>
    <w:rsid w:val="004B6C8B"/>
    <w:rsid w:val="00585165"/>
    <w:rsid w:val="0061669C"/>
    <w:rsid w:val="006D50CD"/>
    <w:rsid w:val="006F3EA4"/>
    <w:rsid w:val="007673D0"/>
    <w:rsid w:val="007E7811"/>
    <w:rsid w:val="0089214D"/>
    <w:rsid w:val="008A465A"/>
    <w:rsid w:val="0094518C"/>
    <w:rsid w:val="00A251B8"/>
    <w:rsid w:val="00B0455E"/>
    <w:rsid w:val="00B83243"/>
    <w:rsid w:val="00C03207"/>
    <w:rsid w:val="00D450E3"/>
    <w:rsid w:val="00DB5373"/>
    <w:rsid w:val="00F900E9"/>
    <w:rsid w:val="00FB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E7811"/>
  </w:style>
  <w:style w:type="character" w:styleId="a3">
    <w:name w:val="Hyperlink"/>
    <w:basedOn w:val="a0"/>
    <w:uiPriority w:val="99"/>
    <w:semiHidden/>
    <w:unhideWhenUsed/>
    <w:rsid w:val="007E7811"/>
    <w:rPr>
      <w:color w:val="0000FF"/>
      <w:u w:val="single"/>
    </w:rPr>
  </w:style>
  <w:style w:type="character" w:customStyle="1" w:styleId="nobr">
    <w:name w:val="nobr"/>
    <w:basedOn w:val="a0"/>
    <w:rsid w:val="001F6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E7811"/>
  </w:style>
  <w:style w:type="character" w:styleId="a3">
    <w:name w:val="Hyperlink"/>
    <w:basedOn w:val="a0"/>
    <w:uiPriority w:val="99"/>
    <w:semiHidden/>
    <w:unhideWhenUsed/>
    <w:rsid w:val="007E7811"/>
    <w:rPr>
      <w:color w:val="0000FF"/>
      <w:u w:val="single"/>
    </w:rPr>
  </w:style>
  <w:style w:type="character" w:customStyle="1" w:styleId="nobr">
    <w:name w:val="nobr"/>
    <w:basedOn w:val="a0"/>
    <w:rsid w:val="001F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19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0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92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1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7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49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31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026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182751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19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1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6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00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33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9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14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5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7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32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2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40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9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3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2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6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9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9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2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16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25461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88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41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4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79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4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7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8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2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3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6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7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6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9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56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9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7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70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11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015659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4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76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26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19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197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6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6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8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2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59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1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75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6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2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1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8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7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1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8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75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8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0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1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9173/5e2c1fc4c00bc3fede4687765d8dc88ebe968cb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55881/8d7c9b1fe75ffd4fffc0cbc6bcbfbf18941027f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5881/0b7a38f12fdc6a011c75ed2fc8ef05a364d799f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2809/817c054a86b198e62ea5e041b855aa504ae991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2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12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dcterms:created xsi:type="dcterms:W3CDTF">2021-02-10T14:45:00Z</dcterms:created>
  <dcterms:modified xsi:type="dcterms:W3CDTF">2021-02-12T13:54:00Z</dcterms:modified>
</cp:coreProperties>
</file>